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38" w:rsidRPr="00906438" w:rsidRDefault="00906438" w:rsidP="00906438">
      <w:pPr>
        <w:widowControl/>
        <w:snapToGrid w:val="0"/>
        <w:spacing w:before="156" w:after="156" w:line="276" w:lineRule="auto"/>
        <w:jc w:val="left"/>
        <w:rPr>
          <w:rFonts w:ascii="宋体" w:eastAsia="宋体" w:hAnsi="宋体" w:cs="宋体"/>
          <w:kern w:val="0"/>
          <w:sz w:val="24"/>
          <w:szCs w:val="24"/>
        </w:rPr>
      </w:pPr>
      <w:r w:rsidRPr="00906438">
        <w:rPr>
          <w:rFonts w:ascii="宋体" w:eastAsia="宋体" w:hAnsi="宋体" w:cs="宋体" w:hint="eastAsia"/>
          <w:kern w:val="0"/>
          <w:sz w:val="32"/>
          <w:szCs w:val="32"/>
        </w:rPr>
        <w:t>附件</w:t>
      </w:r>
    </w:p>
    <w:p w:rsidR="00906438" w:rsidRPr="00906438" w:rsidRDefault="00906438" w:rsidP="00906438">
      <w:pPr>
        <w:widowControl/>
        <w:snapToGrid w:val="0"/>
        <w:spacing w:before="156" w:after="156" w:line="276" w:lineRule="auto"/>
        <w:jc w:val="center"/>
        <w:rPr>
          <w:rFonts w:ascii="宋体" w:eastAsia="宋体" w:hAnsi="宋体" w:cs="宋体"/>
          <w:kern w:val="0"/>
          <w:sz w:val="24"/>
          <w:szCs w:val="24"/>
        </w:rPr>
      </w:pPr>
      <w:r w:rsidRPr="00906438">
        <w:rPr>
          <w:rFonts w:ascii="宋体" w:eastAsia="宋体" w:hAnsi="宋体" w:cs="宋体" w:hint="eastAsia"/>
          <w:b/>
          <w:bCs/>
          <w:kern w:val="0"/>
          <w:sz w:val="32"/>
          <w:szCs w:val="32"/>
        </w:rPr>
        <w:t> </w:t>
      </w:r>
    </w:p>
    <w:p w:rsidR="00906438" w:rsidRPr="00906438" w:rsidRDefault="00906438" w:rsidP="00906438">
      <w:pPr>
        <w:widowControl/>
        <w:snapToGrid w:val="0"/>
        <w:spacing w:before="156" w:after="156" w:line="276" w:lineRule="auto"/>
        <w:jc w:val="center"/>
        <w:rPr>
          <w:rFonts w:ascii="宋体" w:eastAsia="宋体" w:hAnsi="宋体" w:cs="宋体"/>
          <w:kern w:val="0"/>
          <w:sz w:val="24"/>
          <w:szCs w:val="24"/>
        </w:rPr>
      </w:pPr>
      <w:r w:rsidRPr="00906438">
        <w:rPr>
          <w:rFonts w:ascii="宋体" w:eastAsia="宋体" w:hAnsi="宋体" w:cs="宋体" w:hint="eastAsia"/>
          <w:b/>
          <w:bCs/>
          <w:kern w:val="0"/>
          <w:sz w:val="44"/>
          <w:szCs w:val="44"/>
        </w:rPr>
        <w:t>中央和国家机关培训费管理办法</w:t>
      </w:r>
    </w:p>
    <w:p w:rsidR="00906438" w:rsidRPr="00906438" w:rsidRDefault="00906438" w:rsidP="00906438">
      <w:pPr>
        <w:widowControl/>
        <w:snapToGrid w:val="0"/>
        <w:spacing w:before="156" w:after="156" w:line="360" w:lineRule="auto"/>
        <w:ind w:left="1080" w:hanging="1080"/>
        <w:jc w:val="center"/>
        <w:rPr>
          <w:rFonts w:ascii="宋体" w:eastAsia="宋体" w:hAnsi="宋体" w:cs="宋体"/>
          <w:kern w:val="0"/>
          <w:sz w:val="24"/>
          <w:szCs w:val="24"/>
        </w:rPr>
      </w:pPr>
      <w:r w:rsidRPr="00906438">
        <w:rPr>
          <w:rFonts w:ascii="宋体" w:eastAsia="宋体" w:hAnsi="宋体" w:cs="宋体" w:hint="eastAsia"/>
          <w:b/>
          <w:bCs/>
          <w:kern w:val="0"/>
          <w:sz w:val="32"/>
          <w:szCs w:val="32"/>
        </w:rPr>
        <w:t>第一章 总则</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第一条  为进一步规范中央和国家机关培训工作，保证培训工作需要，加强培训经费管理，依据《中华人民共和国公务员法》《干部教育培训工作条例》和其他有关法律法规，制定本办法。</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第二条  本办法所称培训，是指中央和国家机关及其所属机构使用财政资金在境内举办的三个月以内的各类培训。</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第三条  本办法所称中央和国家机关，是指党中央各部门，国务院各部委、各直属机构，全国人大常委会办公厅，全国政协办公厅，最高人民法院，最高人民检察院，各人民团体，各民主党派中央和全国工商联 (以下简称各单位)。</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第四条  各单位举办培训应当坚持厉行节约、反对浪费的原则，实行单位内部统一管理，增强培训计划的科学性和严肃性，增强培训项目的针对性和实效性，保证培训质量，节约培训资源，提高培训经费使用效益。</w:t>
      </w:r>
    </w:p>
    <w:p w:rsidR="00906438" w:rsidRPr="00906438" w:rsidRDefault="00906438" w:rsidP="00906438">
      <w:pPr>
        <w:widowControl/>
        <w:snapToGrid w:val="0"/>
        <w:spacing w:before="100" w:beforeAutospacing="1" w:after="100" w:afterAutospacing="1" w:line="360" w:lineRule="auto"/>
        <w:ind w:left="1080" w:hanging="1080"/>
        <w:jc w:val="center"/>
        <w:rPr>
          <w:rFonts w:ascii="宋体" w:eastAsia="宋体" w:hAnsi="宋体" w:cs="宋体"/>
          <w:kern w:val="0"/>
          <w:sz w:val="24"/>
          <w:szCs w:val="24"/>
        </w:rPr>
      </w:pPr>
      <w:r w:rsidRPr="00906438">
        <w:rPr>
          <w:rFonts w:ascii="宋体" w:eastAsia="宋体" w:hAnsi="宋体" w:cs="宋体" w:hint="eastAsia"/>
          <w:b/>
          <w:bCs/>
          <w:color w:val="000000"/>
          <w:kern w:val="0"/>
          <w:sz w:val="32"/>
          <w:szCs w:val="32"/>
        </w:rPr>
        <w:lastRenderedPageBreak/>
        <w:t>第二章 计划和备案管理</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第五条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rsidR="00906438" w:rsidRPr="00906438" w:rsidRDefault="00906438" w:rsidP="00906438">
      <w:pPr>
        <w:widowControl/>
        <w:snapToGrid w:val="0"/>
        <w:spacing w:before="100" w:beforeAutospacing="1" w:after="100" w:afterAutospacing="1" w:line="360" w:lineRule="auto"/>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第六条  年度培训计划一经批准，原则上不得调整。因工作需要确需临时增加培训项目的，报单位主要负责同志审批。</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第七条  各单位年度培训计划于每年3月31日前同时报中央组织部、财政部、国家公务员局备案。</w:t>
      </w:r>
    </w:p>
    <w:p w:rsidR="00906438" w:rsidRPr="00906438" w:rsidRDefault="00906438" w:rsidP="00906438">
      <w:pPr>
        <w:widowControl/>
        <w:snapToGrid w:val="0"/>
        <w:spacing w:before="100" w:beforeAutospacing="1" w:after="100" w:afterAutospacing="1" w:line="360" w:lineRule="auto"/>
        <w:ind w:left="1080" w:hanging="1080"/>
        <w:jc w:val="center"/>
        <w:rPr>
          <w:rFonts w:ascii="宋体" w:eastAsia="宋体" w:hAnsi="宋体" w:cs="宋体"/>
          <w:kern w:val="0"/>
          <w:sz w:val="24"/>
          <w:szCs w:val="24"/>
        </w:rPr>
      </w:pPr>
      <w:r w:rsidRPr="00906438">
        <w:rPr>
          <w:rFonts w:ascii="宋体" w:eastAsia="宋体" w:hAnsi="宋体" w:cs="宋体" w:hint="eastAsia"/>
          <w:b/>
          <w:bCs/>
          <w:color w:val="000000"/>
          <w:kern w:val="0"/>
          <w:sz w:val="32"/>
          <w:szCs w:val="32"/>
        </w:rPr>
        <w:t>第三章 开支范围和标准</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第八条  本办法所称培训费，是指各单位开展培训直接发生的各项费用支出，包括师资费、住宿费、伙食费、培训场地费、培训资料费、交通费以及其他费用。</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（一）师资费是指聘请师资授课发生的费用，包括授课老师讲课费、住宿费、伙食费、城市间交通费等。</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（二）住宿费是指参训人员及工作人员培训期间发生的租住房间的费用。</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lastRenderedPageBreak/>
        <w:t>（三）伙食费是指参训人员及工作人员培训期间发生的用餐费用。</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（四）培训场地费是指用于培训的会议室或教室租金。</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（五）培训资料费是指培训期间必要的资料及办公用品费。</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（六）交通费是指用于培训所需的人员接送以及与培训有关的考察、调研等发生的交通支出。</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（七）其他费用是指现场教学费、设备租赁费、文体活动费、医药费等与培训有关的其他支出。</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参训人员参加培训往返及异地教学发生的城市间交通费，按照中央和国家机关差旅费有关规定回单位报销。</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第九条  除师资费外，培训费实行分类综合定额标准，分项核定、总额控制，各项费用之间可以调剂使用。综合定额标准如下：</w:t>
      </w:r>
    </w:p>
    <w:tbl>
      <w:tblPr>
        <w:tblW w:w="8535" w:type="dxa"/>
        <w:tblCellMar>
          <w:left w:w="0" w:type="dxa"/>
          <w:right w:w="0" w:type="dxa"/>
        </w:tblCellMar>
        <w:tblLook w:val="04A0"/>
      </w:tblPr>
      <w:tblGrid>
        <w:gridCol w:w="1106"/>
        <w:gridCol w:w="1272"/>
        <w:gridCol w:w="1561"/>
        <w:gridCol w:w="1944"/>
        <w:gridCol w:w="1601"/>
        <w:gridCol w:w="1051"/>
      </w:tblGrid>
      <w:tr w:rsidR="00906438" w:rsidRPr="00906438" w:rsidTr="00906438">
        <w:tc>
          <w:tcPr>
            <w:tcW w:w="1105" w:type="dxa"/>
            <w:tcBorders>
              <w:top w:val="nil"/>
              <w:left w:val="nil"/>
              <w:bottom w:val="single" w:sz="8" w:space="0" w:color="000000"/>
              <w:right w:val="nil"/>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360" w:lineRule="auto"/>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w:t>
            </w:r>
          </w:p>
        </w:tc>
        <w:tc>
          <w:tcPr>
            <w:tcW w:w="1271" w:type="dxa"/>
            <w:tcBorders>
              <w:top w:val="nil"/>
              <w:left w:val="nil"/>
              <w:bottom w:val="single" w:sz="8" w:space="0" w:color="000000"/>
              <w:right w:val="nil"/>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360" w:lineRule="auto"/>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w:t>
            </w:r>
          </w:p>
        </w:tc>
        <w:tc>
          <w:tcPr>
            <w:tcW w:w="1560" w:type="dxa"/>
            <w:tcBorders>
              <w:top w:val="nil"/>
              <w:left w:val="nil"/>
              <w:bottom w:val="single" w:sz="8" w:space="0" w:color="000000"/>
              <w:right w:val="nil"/>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360" w:lineRule="auto"/>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w:t>
            </w:r>
          </w:p>
        </w:tc>
        <w:tc>
          <w:tcPr>
            <w:tcW w:w="1943" w:type="dxa"/>
            <w:tcBorders>
              <w:top w:val="nil"/>
              <w:left w:val="nil"/>
              <w:bottom w:val="single" w:sz="8" w:space="0" w:color="000000"/>
              <w:right w:val="nil"/>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360" w:lineRule="auto"/>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w:t>
            </w:r>
          </w:p>
        </w:tc>
        <w:tc>
          <w:tcPr>
            <w:tcW w:w="2650" w:type="dxa"/>
            <w:gridSpan w:val="2"/>
            <w:tcBorders>
              <w:top w:val="nil"/>
              <w:left w:val="nil"/>
              <w:bottom w:val="single" w:sz="8" w:space="0" w:color="000000"/>
              <w:right w:val="nil"/>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360" w:lineRule="auto"/>
              <w:jc w:val="right"/>
              <w:rPr>
                <w:rFonts w:ascii="宋体" w:eastAsia="宋体" w:hAnsi="宋体" w:cs="宋体"/>
                <w:kern w:val="0"/>
                <w:sz w:val="24"/>
                <w:szCs w:val="24"/>
              </w:rPr>
            </w:pPr>
            <w:r w:rsidRPr="00906438">
              <w:rPr>
                <w:rFonts w:ascii="宋体" w:eastAsia="宋体" w:hAnsi="宋体" w:cs="宋体" w:hint="eastAsia"/>
                <w:color w:val="000000"/>
                <w:kern w:val="0"/>
                <w:sz w:val="32"/>
                <w:szCs w:val="32"/>
              </w:rPr>
              <w:t>单位：元/人天</w:t>
            </w:r>
          </w:p>
        </w:tc>
      </w:tr>
      <w:tr w:rsidR="00906438" w:rsidRPr="00906438" w:rsidTr="00906438">
        <w:trPr>
          <w:trHeight w:val="1141"/>
        </w:trPr>
        <w:tc>
          <w:tcPr>
            <w:tcW w:w="1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培训类别</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住宿费</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伙食费</w:t>
            </w:r>
          </w:p>
        </w:tc>
        <w:tc>
          <w:tcPr>
            <w:tcW w:w="1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场地、资料、交通费</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其他费用</w:t>
            </w:r>
          </w:p>
        </w:tc>
        <w:tc>
          <w:tcPr>
            <w:tcW w:w="1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合计</w:t>
            </w:r>
          </w:p>
        </w:tc>
      </w:tr>
      <w:tr w:rsidR="00906438" w:rsidRPr="00906438" w:rsidTr="00906438">
        <w:tc>
          <w:tcPr>
            <w:tcW w:w="1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一类培训</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500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150</w:t>
            </w:r>
          </w:p>
        </w:tc>
        <w:tc>
          <w:tcPr>
            <w:tcW w:w="1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80</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30</w:t>
            </w:r>
          </w:p>
        </w:tc>
        <w:tc>
          <w:tcPr>
            <w:tcW w:w="1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760</w:t>
            </w:r>
          </w:p>
        </w:tc>
      </w:tr>
      <w:tr w:rsidR="00906438" w:rsidRPr="00906438" w:rsidTr="00906438">
        <w:tc>
          <w:tcPr>
            <w:tcW w:w="1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二类</w:t>
            </w:r>
            <w:r w:rsidRPr="00906438">
              <w:rPr>
                <w:rFonts w:ascii="宋体" w:eastAsia="宋体" w:hAnsi="宋体" w:cs="宋体" w:hint="eastAsia"/>
                <w:color w:val="000000"/>
                <w:kern w:val="0"/>
                <w:sz w:val="32"/>
                <w:szCs w:val="32"/>
              </w:rPr>
              <w:lastRenderedPageBreak/>
              <w:t>培训</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lastRenderedPageBreak/>
              <w:t>400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150</w:t>
            </w:r>
          </w:p>
        </w:tc>
        <w:tc>
          <w:tcPr>
            <w:tcW w:w="1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70</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30</w:t>
            </w:r>
          </w:p>
        </w:tc>
        <w:tc>
          <w:tcPr>
            <w:tcW w:w="1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650</w:t>
            </w:r>
          </w:p>
        </w:tc>
      </w:tr>
      <w:tr w:rsidR="00906438" w:rsidRPr="00906438" w:rsidTr="00906438">
        <w:tc>
          <w:tcPr>
            <w:tcW w:w="1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lastRenderedPageBreak/>
              <w:t>三类培训</w:t>
            </w:r>
          </w:p>
        </w:tc>
        <w:tc>
          <w:tcPr>
            <w:tcW w:w="12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340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130</w:t>
            </w:r>
          </w:p>
        </w:tc>
        <w:tc>
          <w:tcPr>
            <w:tcW w:w="1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50</w:t>
            </w:r>
          </w:p>
        </w:tc>
        <w:tc>
          <w:tcPr>
            <w:tcW w:w="16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30</w:t>
            </w:r>
          </w:p>
        </w:tc>
        <w:tc>
          <w:tcPr>
            <w:tcW w:w="1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06438" w:rsidRPr="00906438" w:rsidRDefault="00906438" w:rsidP="00906438">
            <w:pPr>
              <w:widowControl/>
              <w:snapToGrid w:val="0"/>
              <w:spacing w:before="100" w:beforeAutospacing="1" w:after="100" w:afterAutospacing="1" w:line="276" w:lineRule="auto"/>
              <w:jc w:val="center"/>
              <w:rPr>
                <w:rFonts w:ascii="宋体" w:eastAsia="宋体" w:hAnsi="宋体" w:cs="宋体"/>
                <w:kern w:val="0"/>
                <w:sz w:val="24"/>
                <w:szCs w:val="24"/>
              </w:rPr>
            </w:pPr>
            <w:r w:rsidRPr="00906438">
              <w:rPr>
                <w:rFonts w:ascii="宋体" w:eastAsia="宋体" w:hAnsi="宋体" w:cs="宋体" w:hint="eastAsia"/>
                <w:color w:val="000000"/>
                <w:kern w:val="0"/>
                <w:sz w:val="32"/>
                <w:szCs w:val="32"/>
              </w:rPr>
              <w:t>550</w:t>
            </w:r>
          </w:p>
        </w:tc>
      </w:tr>
    </w:tbl>
    <w:p w:rsidR="00906438" w:rsidRPr="00906438" w:rsidRDefault="00906438" w:rsidP="00906438">
      <w:pPr>
        <w:widowControl/>
        <w:snapToGrid w:val="0"/>
        <w:spacing w:before="100" w:beforeAutospacing="1"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一类培训是指参训人员主要为省部级及相应人员的培训项目。</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二类培训是指参训人员主要为司局级人员的培训项目。</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三类培训是指参训人员主要为处级及以下人员的培训项目。</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以其他人员为主的培训项目参照上述标准分类执行。</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综合定额标准是相关费用开支的上限。各单位应在综合定额标准以内结算报销。</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kern w:val="0"/>
          <w:sz w:val="32"/>
          <w:szCs w:val="32"/>
        </w:rPr>
        <w:t>30天以内的培训按照综合定额标准控制；超过30天的培训，超过天数按照综合定额标准的70%控制。上述天数含报到撤离时间，报到和撤离时间分别不得超过1天。</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xml:space="preserve">第十条  师资费在综合定额标准外单独核算。 </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（一）讲课费（税后）执行以下标准：</w:t>
      </w:r>
      <w:r w:rsidRPr="00906438">
        <w:rPr>
          <w:rFonts w:ascii="宋体" w:eastAsia="宋体" w:hAnsi="宋体" w:cs="宋体" w:hint="eastAsia"/>
          <w:color w:val="000000"/>
          <w:spacing w:val="-8"/>
          <w:kern w:val="0"/>
          <w:sz w:val="32"/>
          <w:szCs w:val="32"/>
        </w:rPr>
        <w:t>副高级技术职称专业人员每学时最高不超过500元，正高级技术职称专业人员</w:t>
      </w:r>
      <w:r w:rsidRPr="00906438">
        <w:rPr>
          <w:rFonts w:ascii="宋体" w:eastAsia="宋体" w:hAnsi="宋体" w:cs="宋体" w:hint="eastAsia"/>
          <w:color w:val="000000"/>
          <w:spacing w:val="-8"/>
          <w:kern w:val="0"/>
          <w:sz w:val="32"/>
          <w:szCs w:val="32"/>
        </w:rPr>
        <w:lastRenderedPageBreak/>
        <w:t>每学时最高不超过1000元，</w:t>
      </w:r>
      <w:r w:rsidRPr="00906438">
        <w:rPr>
          <w:rFonts w:ascii="宋体" w:eastAsia="宋体" w:hAnsi="宋体" w:cs="宋体" w:hint="eastAsia"/>
          <w:color w:val="000000"/>
          <w:kern w:val="0"/>
          <w:sz w:val="32"/>
          <w:szCs w:val="32"/>
        </w:rPr>
        <w:t>院士、全国知名专家每学时一般不超过1500元。</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讲课费按实际发生的学时计算，每半天最多按4学时计算。</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其他人员讲课费参照上述标准执行。</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xml:space="preserve">同时为多班次一并授课的，不重复计算讲课费。  </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（二）授课老师的城市间交通费按照中央和国家机关差旅费有关规定和标准执行，住宿费、伙食费按照本办法标准执行，原则上由培训举办单位承担。</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（三）培训工作确有需要从异地（含境外）邀请授课老师，路途时间较长的，经单位主要负责同志书面批准，讲课费可以适当增加。</w:t>
      </w:r>
    </w:p>
    <w:p w:rsidR="00906438" w:rsidRPr="00906438" w:rsidRDefault="00906438" w:rsidP="00906438">
      <w:pPr>
        <w:widowControl/>
        <w:snapToGrid w:val="0"/>
        <w:spacing w:before="100" w:beforeAutospacing="1" w:after="100" w:afterAutospacing="1" w:line="360" w:lineRule="auto"/>
        <w:ind w:left="1080" w:hanging="1080"/>
        <w:jc w:val="center"/>
        <w:rPr>
          <w:rFonts w:ascii="宋体" w:eastAsia="宋体" w:hAnsi="宋体" w:cs="宋体"/>
          <w:kern w:val="0"/>
          <w:sz w:val="24"/>
          <w:szCs w:val="24"/>
        </w:rPr>
      </w:pPr>
      <w:r w:rsidRPr="00906438">
        <w:rPr>
          <w:rFonts w:ascii="宋体" w:eastAsia="宋体" w:hAnsi="宋体" w:cs="宋体" w:hint="eastAsia"/>
          <w:b/>
          <w:bCs/>
          <w:color w:val="000000"/>
          <w:kern w:val="0"/>
          <w:sz w:val="32"/>
          <w:szCs w:val="32"/>
        </w:rPr>
        <w:t>第四章 培训组织</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第十一条  培训实行中央和地方分级管理，各单位举办培训，原则上不得下延至市、县及以下。</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第十二条  各单位开展培训，应当在开支范围和标准内优先选择党校、行政学院、干部学院以及组织人事部门认可的其他培训机构承办。</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lastRenderedPageBreak/>
        <w:t>第十三条  组织培训的工作人员控制在参训人员数量的10%以内，最多不超过10人。</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第十四条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培训住宿不得安排高档套房，不得额外配发洗漱用品；培训用餐不得上高档菜肴，不得提供烟酒；除必要的现场教学外，7日以内的培训不得组织调研、考察、参观。</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第十五条  邀请境外师资讲课，须严格按照有关外事管理规定，履行审批手续。境内师资能够满足培训需要的，不得邀请境外师资。</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xml:space="preserve">第十六条  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 </w:t>
      </w:r>
    </w:p>
    <w:p w:rsidR="00906438" w:rsidRPr="00906438" w:rsidRDefault="00906438" w:rsidP="00906438">
      <w:pPr>
        <w:widowControl/>
        <w:snapToGrid w:val="0"/>
        <w:spacing w:before="100" w:beforeAutospacing="1" w:after="100" w:afterAutospacing="1" w:line="360" w:lineRule="auto"/>
        <w:ind w:left="1080" w:hanging="1080"/>
        <w:jc w:val="center"/>
        <w:rPr>
          <w:rFonts w:ascii="宋体" w:eastAsia="宋体" w:hAnsi="宋体" w:cs="宋体"/>
          <w:kern w:val="0"/>
          <w:sz w:val="24"/>
          <w:szCs w:val="24"/>
        </w:rPr>
      </w:pPr>
      <w:r w:rsidRPr="00906438">
        <w:rPr>
          <w:rFonts w:ascii="宋体" w:eastAsia="宋体" w:hAnsi="宋体" w:cs="宋体" w:hint="eastAsia"/>
          <w:b/>
          <w:bCs/>
          <w:color w:val="000000"/>
          <w:kern w:val="0"/>
          <w:sz w:val="32"/>
          <w:szCs w:val="32"/>
        </w:rPr>
        <w:t>第五章 报销结算</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lastRenderedPageBreak/>
        <w:t>第十七条  报 销培训费，综合定额范围内的，应当提供培训计划审批文件、培训通知、实际参训人员签到表以及培训机构出具的收款票据、费用明细等凭证；师资费范围内的，应 当提供讲课费签收单或合同，异地授课的城市间交通费、住宿费、伙食费按照差旅费报销办法提供相关凭据；执行中经单位主要负责同志批准临时增加的培训项目， 还应提供单位主要负责同志审批材料。</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各单位财务部门应当严格按照规定审核培训费开支，对未履行审批备案程序的培训，以及超范围、超标准开支的费用不予报销。</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第十八条  培训费的资金支付应当执行国库集中支付和公务卡管理有关制度规定。</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 xml:space="preserve">第十九条  培训费由培训举办单位承担，不得向参训人员收取任何费用。 </w:t>
      </w:r>
    </w:p>
    <w:p w:rsidR="00906438" w:rsidRPr="00906438" w:rsidRDefault="00906438" w:rsidP="00906438">
      <w:pPr>
        <w:widowControl/>
        <w:snapToGrid w:val="0"/>
        <w:spacing w:before="100" w:beforeAutospacing="1" w:after="100" w:afterAutospacing="1" w:line="360" w:lineRule="auto"/>
        <w:ind w:left="1080" w:hanging="1080"/>
        <w:jc w:val="center"/>
        <w:rPr>
          <w:rFonts w:ascii="宋体" w:eastAsia="宋体" w:hAnsi="宋体" w:cs="宋体"/>
          <w:kern w:val="0"/>
          <w:sz w:val="24"/>
          <w:szCs w:val="24"/>
        </w:rPr>
      </w:pPr>
      <w:r w:rsidRPr="00906438">
        <w:rPr>
          <w:rFonts w:ascii="宋体" w:eastAsia="宋体" w:hAnsi="宋体" w:cs="宋体" w:hint="eastAsia"/>
          <w:b/>
          <w:bCs/>
          <w:color w:val="000000"/>
          <w:kern w:val="0"/>
          <w:sz w:val="32"/>
          <w:szCs w:val="32"/>
        </w:rPr>
        <w:t>第六章 监督检查</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第二十条  各单位应当将非涉密培训的项目、内容、人数、经费等情况，以适当方式公开。</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第二十一条  各单位应当于每年3月31日前将上年度培训计划执行情况（包括培训名称、对象、内容、时间、地</w:t>
      </w:r>
      <w:r w:rsidRPr="00906438">
        <w:rPr>
          <w:rFonts w:ascii="宋体" w:eastAsia="宋体" w:hAnsi="宋体" w:cs="宋体" w:hint="eastAsia"/>
          <w:color w:val="000000"/>
          <w:kern w:val="0"/>
          <w:sz w:val="32"/>
          <w:szCs w:val="32"/>
        </w:rPr>
        <w:lastRenderedPageBreak/>
        <w:t>点、参训人数、工作人员数、经费开支及列支渠道、培训成效、问题建议等）报送中央组织部、财政部、国家公务员局。</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第二十二条  中央组织部、财政部、国家公务员局等有关部门对各单位培训活动和培训费管理使用情况进行监督检查。主要内容包括：</w:t>
      </w:r>
    </w:p>
    <w:p w:rsidR="00906438" w:rsidRPr="00906438" w:rsidRDefault="00906438" w:rsidP="00906438">
      <w:pPr>
        <w:widowControl/>
        <w:snapToGrid w:val="0"/>
        <w:spacing w:before="100" w:beforeAutospacing="1" w:after="100" w:afterAutospacing="1" w:line="360" w:lineRule="auto"/>
        <w:ind w:left="1630" w:hanging="99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（一） 培训计划的编报是否符合规定；</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（二） 临时增加培训计划是否报单位主要负责同志审批；</w:t>
      </w:r>
    </w:p>
    <w:p w:rsidR="00906438" w:rsidRPr="00906438" w:rsidRDefault="00906438" w:rsidP="00906438">
      <w:pPr>
        <w:widowControl/>
        <w:snapToGrid w:val="0"/>
        <w:spacing w:before="100" w:beforeAutospacing="1" w:after="100" w:afterAutospacing="1" w:line="360" w:lineRule="auto"/>
        <w:ind w:left="1630" w:hanging="99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（三） 培训费开支范围和开支标准是否符合规定；</w:t>
      </w:r>
    </w:p>
    <w:p w:rsidR="00906438" w:rsidRPr="00906438" w:rsidRDefault="00906438" w:rsidP="00906438">
      <w:pPr>
        <w:widowControl/>
        <w:snapToGrid w:val="0"/>
        <w:spacing w:before="100" w:beforeAutospacing="1" w:after="100" w:afterAutospacing="1" w:line="360" w:lineRule="auto"/>
        <w:ind w:left="1630" w:hanging="99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（四） 培训费报销和支付是否符合规定；</w:t>
      </w:r>
    </w:p>
    <w:p w:rsidR="00906438" w:rsidRPr="00906438" w:rsidRDefault="00906438" w:rsidP="00906438">
      <w:pPr>
        <w:widowControl/>
        <w:snapToGrid w:val="0"/>
        <w:spacing w:before="100" w:beforeAutospacing="1" w:after="100" w:afterAutospacing="1" w:line="360" w:lineRule="auto"/>
        <w:ind w:left="1630" w:hanging="99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（五） 是否存在虚报培训费用的行为；</w:t>
      </w:r>
    </w:p>
    <w:p w:rsidR="00906438" w:rsidRPr="00906438" w:rsidRDefault="00906438" w:rsidP="00906438">
      <w:pPr>
        <w:widowControl/>
        <w:snapToGrid w:val="0"/>
        <w:spacing w:before="100" w:beforeAutospacing="1" w:after="100" w:afterAutospacing="1" w:line="360" w:lineRule="auto"/>
        <w:ind w:left="1630" w:hanging="99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（六） 是否存在转嫁、摊派培训费用的行为；</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（七） 是否存在向参训人员收费的行为；</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（八） 是否存在奢侈浪费现象；</w:t>
      </w:r>
    </w:p>
    <w:p w:rsidR="00906438" w:rsidRPr="00906438" w:rsidRDefault="00906438" w:rsidP="00906438">
      <w:pPr>
        <w:widowControl/>
        <w:snapToGrid w:val="0"/>
        <w:spacing w:before="100" w:beforeAutospacing="1" w:after="100" w:afterAutospacing="1" w:line="360" w:lineRule="auto"/>
        <w:ind w:left="1630" w:hanging="99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（九） 是否存在其他违反本办法的行为。</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第二十三条  对于检查中发现的违反本办法的行为，由中央组织部、财政部、国家公务员局等有关部门责令改正，</w:t>
      </w:r>
      <w:r w:rsidRPr="00906438">
        <w:rPr>
          <w:rFonts w:ascii="宋体" w:eastAsia="宋体" w:hAnsi="宋体" w:cs="宋体" w:hint="eastAsia"/>
          <w:color w:val="000000"/>
          <w:kern w:val="0"/>
          <w:sz w:val="32"/>
          <w:szCs w:val="32"/>
        </w:rPr>
        <w:lastRenderedPageBreak/>
        <w:t>追回资金，并予以通报。对相关责任人员，按规定予以党纪政纪处分；涉嫌违法的，移交司法机关处理。</w:t>
      </w:r>
    </w:p>
    <w:p w:rsidR="00906438" w:rsidRPr="00906438" w:rsidRDefault="00906438" w:rsidP="00906438">
      <w:pPr>
        <w:widowControl/>
        <w:snapToGrid w:val="0"/>
        <w:spacing w:before="100" w:beforeAutospacing="1" w:after="100" w:afterAutospacing="1" w:line="360" w:lineRule="auto"/>
        <w:ind w:left="1080" w:hanging="1080"/>
        <w:jc w:val="center"/>
        <w:rPr>
          <w:rFonts w:ascii="宋体" w:eastAsia="宋体" w:hAnsi="宋体" w:cs="宋体"/>
          <w:kern w:val="0"/>
          <w:sz w:val="24"/>
          <w:szCs w:val="24"/>
        </w:rPr>
      </w:pPr>
      <w:r w:rsidRPr="00906438">
        <w:rPr>
          <w:rFonts w:ascii="宋体" w:eastAsia="宋体" w:hAnsi="宋体" w:cs="宋体" w:hint="eastAsia"/>
          <w:b/>
          <w:bCs/>
          <w:color w:val="000000"/>
          <w:kern w:val="0"/>
          <w:sz w:val="32"/>
          <w:szCs w:val="32"/>
        </w:rPr>
        <w:t>第七章 附则</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第二十四条  各单位可以按照本办法，结合本单位业务特点和工作实际，制定培训费管理具体规定。</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第二十五条  中央组织部、国家公务员局组织的调训和统一培训，有关部门组织的援外培训，不适用本办法，按有关规定执行。</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第二十六条  中央事业单位培训费管理参照本办法执行。</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第二十七条  本办法由财政部会同中央组织部、国家公务员局负责解释。</w:t>
      </w:r>
    </w:p>
    <w:p w:rsidR="00906438" w:rsidRPr="00906438" w:rsidRDefault="00906438" w:rsidP="00906438">
      <w:pPr>
        <w:widowControl/>
        <w:snapToGrid w:val="0"/>
        <w:spacing w:before="100" w:beforeAutospacing="1" w:after="100" w:afterAutospacing="1" w:line="360" w:lineRule="auto"/>
        <w:ind w:firstLine="640"/>
        <w:jc w:val="left"/>
        <w:rPr>
          <w:rFonts w:ascii="宋体" w:eastAsia="宋体" w:hAnsi="宋体" w:cs="宋体"/>
          <w:kern w:val="0"/>
          <w:sz w:val="24"/>
          <w:szCs w:val="24"/>
        </w:rPr>
      </w:pPr>
      <w:r w:rsidRPr="00906438">
        <w:rPr>
          <w:rFonts w:ascii="宋体" w:eastAsia="宋体" w:hAnsi="宋体" w:cs="宋体" w:hint="eastAsia"/>
          <w:color w:val="000000"/>
          <w:kern w:val="0"/>
          <w:sz w:val="32"/>
          <w:szCs w:val="32"/>
        </w:rPr>
        <w:t>第二十八条  本办法自2017年1月1日起施行。《中央和国家机关培训费管理办法》（财行〔2013〕523号）同时废止。</w:t>
      </w:r>
    </w:p>
    <w:p w:rsidR="00906438" w:rsidRPr="00906438" w:rsidRDefault="00906438" w:rsidP="00906438">
      <w:pPr>
        <w:widowControl/>
        <w:snapToGrid w:val="0"/>
        <w:spacing w:before="100" w:beforeAutospacing="1" w:after="100" w:afterAutospacing="1" w:line="360" w:lineRule="auto"/>
        <w:jc w:val="left"/>
        <w:rPr>
          <w:rFonts w:ascii="宋体" w:eastAsia="宋体" w:hAnsi="宋体" w:cs="宋体"/>
          <w:kern w:val="0"/>
          <w:sz w:val="24"/>
          <w:szCs w:val="24"/>
        </w:rPr>
      </w:pPr>
      <w:r w:rsidRPr="00906438">
        <w:rPr>
          <w:rFonts w:ascii="宋体" w:eastAsia="宋体" w:hAnsi="宋体" w:cs="宋体" w:hint="eastAsia"/>
          <w:kern w:val="0"/>
          <w:sz w:val="24"/>
          <w:szCs w:val="24"/>
        </w:rPr>
        <w:t> </w:t>
      </w:r>
    </w:p>
    <w:p w:rsidR="00CD2E77" w:rsidRPr="00906438" w:rsidRDefault="00CD2E77" w:rsidP="00906438"/>
    <w:sectPr w:rsidR="00CD2E77" w:rsidRPr="00906438" w:rsidSect="003D6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2DB" w:rsidRDefault="004E72DB" w:rsidP="00C62562">
      <w:r>
        <w:separator/>
      </w:r>
    </w:p>
  </w:endnote>
  <w:endnote w:type="continuationSeparator" w:id="1">
    <w:p w:rsidR="004E72DB" w:rsidRDefault="004E72DB" w:rsidP="00C62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2DB" w:rsidRDefault="004E72DB" w:rsidP="00C62562">
      <w:r>
        <w:separator/>
      </w:r>
    </w:p>
  </w:footnote>
  <w:footnote w:type="continuationSeparator" w:id="1">
    <w:p w:rsidR="004E72DB" w:rsidRDefault="004E72DB" w:rsidP="00C62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562"/>
    <w:rsid w:val="0008765F"/>
    <w:rsid w:val="00121525"/>
    <w:rsid w:val="00237ACF"/>
    <w:rsid w:val="00316445"/>
    <w:rsid w:val="003B72E2"/>
    <w:rsid w:val="003D6C80"/>
    <w:rsid w:val="004B747F"/>
    <w:rsid w:val="004E72DB"/>
    <w:rsid w:val="00530BB3"/>
    <w:rsid w:val="00575D6D"/>
    <w:rsid w:val="005963AF"/>
    <w:rsid w:val="005A08ED"/>
    <w:rsid w:val="005B6B74"/>
    <w:rsid w:val="00696F08"/>
    <w:rsid w:val="006D0372"/>
    <w:rsid w:val="006D6494"/>
    <w:rsid w:val="006E4FEC"/>
    <w:rsid w:val="00906438"/>
    <w:rsid w:val="009C61E5"/>
    <w:rsid w:val="00B45E99"/>
    <w:rsid w:val="00C62562"/>
    <w:rsid w:val="00CD2E77"/>
    <w:rsid w:val="00D05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2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2562"/>
    <w:rPr>
      <w:sz w:val="18"/>
      <w:szCs w:val="18"/>
    </w:rPr>
  </w:style>
  <w:style w:type="paragraph" w:styleId="a4">
    <w:name w:val="footer"/>
    <w:basedOn w:val="a"/>
    <w:link w:val="Char0"/>
    <w:uiPriority w:val="99"/>
    <w:semiHidden/>
    <w:unhideWhenUsed/>
    <w:rsid w:val="00C62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2562"/>
    <w:rPr>
      <w:sz w:val="18"/>
      <w:szCs w:val="18"/>
    </w:rPr>
  </w:style>
  <w:style w:type="paragraph" w:styleId="a5">
    <w:name w:val="Balloon Text"/>
    <w:basedOn w:val="a"/>
    <w:link w:val="Char1"/>
    <w:uiPriority w:val="99"/>
    <w:semiHidden/>
    <w:unhideWhenUsed/>
    <w:rsid w:val="00C62562"/>
    <w:rPr>
      <w:sz w:val="18"/>
      <w:szCs w:val="18"/>
    </w:rPr>
  </w:style>
  <w:style w:type="character" w:customStyle="1" w:styleId="Char1">
    <w:name w:val="批注框文本 Char"/>
    <w:basedOn w:val="a0"/>
    <w:link w:val="a5"/>
    <w:uiPriority w:val="99"/>
    <w:semiHidden/>
    <w:rsid w:val="00C62562"/>
    <w:rPr>
      <w:sz w:val="18"/>
      <w:szCs w:val="18"/>
    </w:rPr>
  </w:style>
  <w:style w:type="paragraph" w:styleId="a6">
    <w:name w:val="Normal (Web)"/>
    <w:basedOn w:val="a"/>
    <w:uiPriority w:val="99"/>
    <w:unhideWhenUsed/>
    <w:rsid w:val="009C61E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C61E5"/>
    <w:rPr>
      <w:b/>
      <w:bCs/>
    </w:rPr>
  </w:style>
</w:styles>
</file>

<file path=word/webSettings.xml><?xml version="1.0" encoding="utf-8"?>
<w:webSettings xmlns:r="http://schemas.openxmlformats.org/officeDocument/2006/relationships" xmlns:w="http://schemas.openxmlformats.org/wordprocessingml/2006/main">
  <w:divs>
    <w:div w:id="182473397">
      <w:bodyDiv w:val="1"/>
      <w:marLeft w:val="0"/>
      <w:marRight w:val="0"/>
      <w:marTop w:val="0"/>
      <w:marBottom w:val="0"/>
      <w:divBdr>
        <w:top w:val="none" w:sz="0" w:space="0" w:color="auto"/>
        <w:left w:val="none" w:sz="0" w:space="0" w:color="auto"/>
        <w:bottom w:val="none" w:sz="0" w:space="0" w:color="auto"/>
        <w:right w:val="none" w:sz="0" w:space="0" w:color="auto"/>
      </w:divBdr>
    </w:div>
    <w:div w:id="451024996">
      <w:bodyDiv w:val="1"/>
      <w:marLeft w:val="0"/>
      <w:marRight w:val="0"/>
      <w:marTop w:val="0"/>
      <w:marBottom w:val="0"/>
      <w:divBdr>
        <w:top w:val="none" w:sz="0" w:space="0" w:color="auto"/>
        <w:left w:val="none" w:sz="0" w:space="0" w:color="auto"/>
        <w:bottom w:val="none" w:sz="0" w:space="0" w:color="auto"/>
        <w:right w:val="none" w:sz="0" w:space="0" w:color="auto"/>
      </w:divBdr>
      <w:divsChild>
        <w:div w:id="3132250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49036761">
      <w:bodyDiv w:val="1"/>
      <w:marLeft w:val="0"/>
      <w:marRight w:val="0"/>
      <w:marTop w:val="0"/>
      <w:marBottom w:val="0"/>
      <w:divBdr>
        <w:top w:val="none" w:sz="0" w:space="0" w:color="auto"/>
        <w:left w:val="none" w:sz="0" w:space="0" w:color="auto"/>
        <w:bottom w:val="none" w:sz="0" w:space="0" w:color="auto"/>
        <w:right w:val="none" w:sz="0" w:space="0" w:color="auto"/>
      </w:divBdr>
    </w:div>
    <w:div w:id="834147108">
      <w:bodyDiv w:val="1"/>
      <w:marLeft w:val="0"/>
      <w:marRight w:val="0"/>
      <w:marTop w:val="0"/>
      <w:marBottom w:val="0"/>
      <w:divBdr>
        <w:top w:val="none" w:sz="0" w:space="0" w:color="auto"/>
        <w:left w:val="none" w:sz="0" w:space="0" w:color="auto"/>
        <w:bottom w:val="none" w:sz="0" w:space="0" w:color="auto"/>
        <w:right w:val="none" w:sz="0" w:space="0" w:color="auto"/>
      </w:divBdr>
    </w:div>
    <w:div w:id="1485581563">
      <w:bodyDiv w:val="1"/>
      <w:marLeft w:val="0"/>
      <w:marRight w:val="0"/>
      <w:marTop w:val="0"/>
      <w:marBottom w:val="0"/>
      <w:divBdr>
        <w:top w:val="none" w:sz="0" w:space="0" w:color="auto"/>
        <w:left w:val="none" w:sz="0" w:space="0" w:color="auto"/>
        <w:bottom w:val="none" w:sz="0" w:space="0" w:color="auto"/>
        <w:right w:val="none" w:sz="0" w:space="0" w:color="auto"/>
      </w:divBdr>
    </w:div>
    <w:div w:id="17000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just-pc</dc:creator>
  <cp:keywords/>
  <dc:description/>
  <cp:lastModifiedBy>just-pc</cp:lastModifiedBy>
  <cp:revision>17</cp:revision>
  <dcterms:created xsi:type="dcterms:W3CDTF">2016-12-27T13:34:00Z</dcterms:created>
  <dcterms:modified xsi:type="dcterms:W3CDTF">2017-01-04T09:09:00Z</dcterms:modified>
</cp:coreProperties>
</file>